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65" w:rsidRPr="003B07AC" w:rsidRDefault="00847B65" w:rsidP="00847B65">
      <w:pPr>
        <w:ind w:firstLine="426"/>
        <w:jc w:val="right"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В.Г.Исаченко</w:t>
      </w:r>
    </w:p>
    <w:p w:rsidR="00847B65" w:rsidRPr="003B07AC" w:rsidRDefault="00847B65" w:rsidP="00847B65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07AC">
        <w:rPr>
          <w:rFonts w:ascii="Times New Roman" w:hAnsi="Times New Roman"/>
          <w:b/>
          <w:sz w:val="24"/>
          <w:szCs w:val="24"/>
        </w:rPr>
        <w:t>АЛЕКСАНДР БЛОК И ВЛАДИМИР МАЯКОВСКИЙ</w:t>
      </w:r>
    </w:p>
    <w:p w:rsidR="00847B65" w:rsidRPr="003B07AC" w:rsidRDefault="00847B65" w:rsidP="00847B65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(К 130 – летию А.А.Блока)</w:t>
      </w:r>
    </w:p>
    <w:p w:rsidR="00847B65" w:rsidRPr="003B07AC" w:rsidRDefault="00847B65" w:rsidP="00847B65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Этот очерк – доклад можно полностью построить из слов этих великих поэтов. Здесь не  нужны домыслы и версии – оба с предельной искренностью сказали «о времени и о себе», оба стали совестью и гордостью русской поэзии, перешагнув границы «серебряного века». Значение их многогранного творчества гораздо выше «установок» и всевозможных «ко</w:t>
      </w:r>
      <w:r w:rsidRPr="003B07AC">
        <w:rPr>
          <w:rFonts w:ascii="Times New Roman" w:hAnsi="Times New Roman"/>
          <w:sz w:val="24"/>
          <w:szCs w:val="24"/>
        </w:rPr>
        <w:t>н</w:t>
      </w:r>
      <w:r w:rsidRPr="003B07AC">
        <w:rPr>
          <w:rFonts w:ascii="Times New Roman" w:hAnsi="Times New Roman"/>
          <w:sz w:val="24"/>
          <w:szCs w:val="24"/>
        </w:rPr>
        <w:t>цепций», придуманных критиками и литературоведами.</w:t>
      </w:r>
    </w:p>
    <w:p w:rsidR="00847B65" w:rsidRPr="003B07AC" w:rsidRDefault="00847B65" w:rsidP="00847B65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О Блоке написано и сказано очень много верных слов, но, пожалуй, никто не пон</w:t>
      </w:r>
      <w:r w:rsidRPr="003B07AC">
        <w:rPr>
          <w:rFonts w:ascii="Times New Roman" w:hAnsi="Times New Roman"/>
          <w:sz w:val="24"/>
          <w:szCs w:val="24"/>
        </w:rPr>
        <w:t>и</w:t>
      </w:r>
      <w:r w:rsidRPr="003B07AC">
        <w:rPr>
          <w:rFonts w:ascii="Times New Roman" w:hAnsi="Times New Roman"/>
          <w:sz w:val="24"/>
          <w:szCs w:val="24"/>
        </w:rPr>
        <w:t>мал и  не любил его столь глубоко (хотя и не признавался в этом из-за своей стеснительности, боязни казаться сентиментальным) как громогласный футурист, пришедший к Блоку на Оф</w:t>
      </w:r>
      <w:r w:rsidRPr="003B07AC">
        <w:rPr>
          <w:rFonts w:ascii="Times New Roman" w:hAnsi="Times New Roman"/>
          <w:sz w:val="24"/>
          <w:szCs w:val="24"/>
        </w:rPr>
        <w:t>и</w:t>
      </w:r>
      <w:r w:rsidRPr="003B07AC">
        <w:rPr>
          <w:rFonts w:ascii="Times New Roman" w:hAnsi="Times New Roman"/>
          <w:sz w:val="24"/>
          <w:szCs w:val="24"/>
        </w:rPr>
        <w:t>церскую улицу. Встреча вышла довольно курьёзной. Блок, настроенный на серьёзный разговор с поэтом другого поколения, которого он уже успел оценить и выделить из гру</w:t>
      </w:r>
      <w:r w:rsidRPr="003B07AC">
        <w:rPr>
          <w:rFonts w:ascii="Times New Roman" w:hAnsi="Times New Roman"/>
          <w:sz w:val="24"/>
          <w:szCs w:val="24"/>
        </w:rPr>
        <w:t>п</w:t>
      </w:r>
      <w:r w:rsidRPr="003B07AC">
        <w:rPr>
          <w:rFonts w:ascii="Times New Roman" w:hAnsi="Times New Roman"/>
          <w:sz w:val="24"/>
          <w:szCs w:val="24"/>
        </w:rPr>
        <w:t>пы футуристов за его «демократизм» и другие качества истинного поэта, был огорчён (или  задет) тем, что главной целью визита Маяковского было получить автограф для «Лилички». Чуткий Блок, думается, все-таки понял тогдашнее состояние п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 xml:space="preserve">эта. </w:t>
      </w:r>
    </w:p>
    <w:p w:rsidR="00847B65" w:rsidRDefault="00847B65" w:rsidP="00847B65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Сегодня мы привычно ставим рядом их имена. Можно было бы составить целый сборник из произведений обоих поэтов, изумительным образом не только совпадающих по м</w:t>
      </w:r>
      <w:r w:rsidRPr="003B07AC">
        <w:rPr>
          <w:rFonts w:ascii="Times New Roman" w:hAnsi="Times New Roman"/>
          <w:sz w:val="24"/>
          <w:szCs w:val="24"/>
        </w:rPr>
        <w:t>у</w:t>
      </w:r>
      <w:r w:rsidRPr="003B07AC">
        <w:rPr>
          <w:rFonts w:ascii="Times New Roman" w:hAnsi="Times New Roman"/>
          <w:sz w:val="24"/>
          <w:szCs w:val="24"/>
        </w:rPr>
        <w:t>зыке стиха, по интонации и, наконец, глубинной сути. Читая Блока и Маяковского, можно обнаружить духовное родство поэтов, казалось бы, принадлежащих разным поэт</w:t>
      </w:r>
      <w:r w:rsidRPr="003B07AC">
        <w:rPr>
          <w:rFonts w:ascii="Times New Roman" w:hAnsi="Times New Roman"/>
          <w:sz w:val="24"/>
          <w:szCs w:val="24"/>
        </w:rPr>
        <w:t>и</w:t>
      </w:r>
      <w:r w:rsidRPr="003B07AC">
        <w:rPr>
          <w:rFonts w:ascii="Times New Roman" w:hAnsi="Times New Roman"/>
          <w:sz w:val="24"/>
          <w:szCs w:val="24"/>
        </w:rPr>
        <w:t>ческим культурам.</w:t>
      </w:r>
    </w:p>
    <w:p w:rsidR="00847B65" w:rsidRDefault="00847B65" w:rsidP="00847B65">
      <w:pPr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95450" cy="2336800"/>
            <wp:effectExtent l="19050" t="0" r="0" b="0"/>
            <wp:docPr id="1" name="Рисунок 1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А.Блок. Худ. К.Сомов  </w:t>
      </w:r>
    </w:p>
    <w:p w:rsidR="00847B65" w:rsidRPr="003B07AC" w:rsidRDefault="00847B65" w:rsidP="00847B65">
      <w:pPr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43050" cy="1866900"/>
            <wp:effectExtent l="19050" t="0" r="0" b="0"/>
            <wp:docPr id="2" name="Рисунок 2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В.Маяковский, худ. В.Исаченко   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lastRenderedPageBreak/>
        <w:t>Создаётся впечатление, что образ Блока всегда жил в сознании и душе Маяковского. Недаром он негодовал, слыша неуважительные отзывы о Блоке. Скажем больше: ни Бурлюк, ни другие соратники – футуристы, несмотря на дружеские взаимоотношения, не б</w:t>
      </w:r>
      <w:r w:rsidRPr="003B07AC">
        <w:rPr>
          <w:rFonts w:ascii="Times New Roman" w:hAnsi="Times New Roman"/>
          <w:sz w:val="24"/>
          <w:szCs w:val="24"/>
        </w:rPr>
        <w:t>ы</w:t>
      </w:r>
      <w:r w:rsidRPr="003B07AC">
        <w:rPr>
          <w:rFonts w:ascii="Times New Roman" w:hAnsi="Times New Roman"/>
          <w:sz w:val="24"/>
          <w:szCs w:val="24"/>
        </w:rPr>
        <w:t>ли для Маяковского теми «вечными спутниками», каким был Блок. 10 августа 1921 года был опубликован его очерк – некролог «Умер Александр Блок». Его творчество Маяковский называет «целой поэтической эпохой», а самого поэта «славнейшим мастером – символ</w:t>
      </w:r>
      <w:r w:rsidRPr="003B07AC">
        <w:rPr>
          <w:rFonts w:ascii="Times New Roman" w:hAnsi="Times New Roman"/>
          <w:sz w:val="24"/>
          <w:szCs w:val="24"/>
        </w:rPr>
        <w:t>и</w:t>
      </w:r>
      <w:r w:rsidRPr="003B07AC">
        <w:rPr>
          <w:rFonts w:ascii="Times New Roman" w:hAnsi="Times New Roman"/>
          <w:sz w:val="24"/>
          <w:szCs w:val="24"/>
        </w:rPr>
        <w:t>стом», отделяя его от множества эпигонов. Блок – предвестник «поэзии  будущего», он д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рог всем поэтам.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Маяковский отмечает его благородство, честность и вспоминает историческую встречу на Дворцовой площади в первые дни революции. Впоследствии он изобразил её в поэме «Хорошо». Маяковский уже тогда понял трагедию поэта, принявшего революцию, х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тя у него в деревне сожгли библиотеку. Понял Маяковский и то, что Блок  «надорвался» (как через 9 лет после Блока надорвался, но сохранил творческую силу Маяковский) и «дальше дор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ги не было».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Можно дополнить слова Маяковского: сходные переживания были и у него, с гор</w:t>
      </w:r>
      <w:r w:rsidRPr="003B07AC">
        <w:rPr>
          <w:rFonts w:ascii="Times New Roman" w:hAnsi="Times New Roman"/>
          <w:sz w:val="24"/>
          <w:szCs w:val="24"/>
        </w:rPr>
        <w:t>е</w:t>
      </w:r>
      <w:r w:rsidRPr="003B07AC">
        <w:rPr>
          <w:rFonts w:ascii="Times New Roman" w:hAnsi="Times New Roman"/>
          <w:sz w:val="24"/>
          <w:szCs w:val="24"/>
        </w:rPr>
        <w:t>чью написавшего Луначарскому, как пролетарии «рвали на портянки гобелены Зимнего дво</w:t>
      </w:r>
      <w:r w:rsidRPr="003B07AC">
        <w:rPr>
          <w:rFonts w:ascii="Times New Roman" w:hAnsi="Times New Roman"/>
          <w:sz w:val="24"/>
          <w:szCs w:val="24"/>
        </w:rPr>
        <w:t>р</w:t>
      </w:r>
      <w:r w:rsidRPr="003B07AC">
        <w:rPr>
          <w:rFonts w:ascii="Times New Roman" w:hAnsi="Times New Roman"/>
          <w:sz w:val="24"/>
          <w:szCs w:val="24"/>
        </w:rPr>
        <w:t>ца». Эти факты оба поэта объясняли вековым гнётом и невежеством. Безусловно, смерть Блока была для его младшего современника трагедией – он остался один. Только Блок мог писать стихи, лучше которых Маяковский, по его собственному признанию, нап</w:t>
      </w:r>
      <w:r w:rsidRPr="003B07AC">
        <w:rPr>
          <w:rFonts w:ascii="Times New Roman" w:hAnsi="Times New Roman"/>
          <w:sz w:val="24"/>
          <w:szCs w:val="24"/>
        </w:rPr>
        <w:t>и</w:t>
      </w:r>
      <w:r w:rsidRPr="003B07AC">
        <w:rPr>
          <w:rFonts w:ascii="Times New Roman" w:hAnsi="Times New Roman"/>
          <w:sz w:val="24"/>
          <w:szCs w:val="24"/>
        </w:rPr>
        <w:t xml:space="preserve">сать не мог. 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Коломна, её улицы и  каналы, её  театры, великие обитатели этого района прежних веков соединила судьбы Блока и Маяковского, навсегда связав их с именами Пушкина, Мусоргского и других деятелей нашей культуры. Блоку нравился этот район. Из его квартиры были видны храм на Гутуевском острове, корабельные мачты и дома у залива. В Коломне не было больших архитектурных шедевров, их почти нет и в поэзии Блока с её атмосферой, весьма далёкой от эстетики  «Мира искусства», основанной на любовании Петрополем. Стихи Блока – это «вскрытие» самого духа гор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да.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В Коломне о Блоке говорит всё. Его первое выступление здесь состоялось 14 октября 1906 года в театре В.Ф.Комиссаржевской на Офицерской ул., 39. Блок читал пьесу «К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роль на площади» - цензура не разрешила её постановку. Затем он читал свои стихи. В конце т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го же года в театре прошла постановка лирической драмы Блока «Балаганчик», дебют режиссёра В.Э.Мейерхольда. Оценки пьесы были диаметрально противоположными. По о</w:t>
      </w:r>
      <w:r w:rsidRPr="003B07AC">
        <w:rPr>
          <w:rFonts w:ascii="Times New Roman" w:hAnsi="Times New Roman"/>
          <w:sz w:val="24"/>
          <w:szCs w:val="24"/>
        </w:rPr>
        <w:t>д</w:t>
      </w:r>
      <w:r w:rsidRPr="003B07AC">
        <w:rPr>
          <w:rFonts w:ascii="Times New Roman" w:hAnsi="Times New Roman"/>
          <w:sz w:val="24"/>
          <w:szCs w:val="24"/>
        </w:rPr>
        <w:t>ним воспоминаниям успех был шумный, автора вызывали несколько раз. Блок был доволен игрой актёров. Зрители поняли, что он не только поэт, но и драматург. Одн</w:t>
      </w:r>
      <w:r w:rsidRPr="003B07AC">
        <w:rPr>
          <w:rFonts w:ascii="Times New Roman" w:hAnsi="Times New Roman"/>
          <w:sz w:val="24"/>
          <w:szCs w:val="24"/>
        </w:rPr>
        <w:t>а</w:t>
      </w:r>
      <w:r w:rsidRPr="003B07AC">
        <w:rPr>
          <w:rFonts w:ascii="Times New Roman" w:hAnsi="Times New Roman"/>
          <w:sz w:val="24"/>
          <w:szCs w:val="24"/>
        </w:rPr>
        <w:t>ко всё было не просто – бойкие журналисты не стеснялись в выражениях, «рецензируя» пьесу Блока. «Жалкая белиберда» - ещё не самое ругательное выражение «подонков общества» (сл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ва Блока).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На этой же сцене 2 и 4 декабря 1913 года была показана  трагедия «Владимир Маяковский», в которой 20-летний автор выступил как поэт, режиссёр и актёр. Позже Ма</w:t>
      </w:r>
      <w:r w:rsidRPr="003B07AC">
        <w:rPr>
          <w:rFonts w:ascii="Times New Roman" w:hAnsi="Times New Roman"/>
          <w:sz w:val="24"/>
          <w:szCs w:val="24"/>
        </w:rPr>
        <w:t>я</w:t>
      </w:r>
      <w:r w:rsidRPr="003B07AC">
        <w:rPr>
          <w:rFonts w:ascii="Times New Roman" w:hAnsi="Times New Roman"/>
          <w:sz w:val="24"/>
          <w:szCs w:val="24"/>
        </w:rPr>
        <w:t>ковский писал: «Поставлена в Петербурге. Луна-Парк. Просвистели её до дырок»</w:t>
      </w:r>
      <w:r w:rsidRPr="003B07AC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3B07AC">
        <w:rPr>
          <w:rFonts w:ascii="Times New Roman" w:hAnsi="Times New Roman"/>
          <w:sz w:val="24"/>
          <w:szCs w:val="24"/>
        </w:rPr>
        <w:t>. Но зрители и газетчики не только свистели, восторгов тоже было немало. Побывавший на одной из постановок Блок высоко оценил автора. Настолько высоко, что, пренебрегая газетной руг</w:t>
      </w:r>
      <w:r w:rsidRPr="003B07AC">
        <w:rPr>
          <w:rFonts w:ascii="Times New Roman" w:hAnsi="Times New Roman"/>
          <w:sz w:val="24"/>
          <w:szCs w:val="24"/>
        </w:rPr>
        <w:t>а</w:t>
      </w:r>
      <w:r w:rsidRPr="003B07AC">
        <w:rPr>
          <w:rFonts w:ascii="Times New Roman" w:hAnsi="Times New Roman"/>
          <w:sz w:val="24"/>
          <w:szCs w:val="24"/>
        </w:rPr>
        <w:t xml:space="preserve">нью (давно ли и ему досталось от этих борзописцев за «Балаганчик»?), </w:t>
      </w:r>
      <w:r w:rsidRPr="003B07AC">
        <w:rPr>
          <w:rFonts w:ascii="Times New Roman" w:hAnsi="Times New Roman"/>
          <w:sz w:val="24"/>
          <w:szCs w:val="24"/>
        </w:rPr>
        <w:lastRenderedPageBreak/>
        <w:t>написал Мейерхол</w:t>
      </w:r>
      <w:r w:rsidRPr="003B07AC">
        <w:rPr>
          <w:rFonts w:ascii="Times New Roman" w:hAnsi="Times New Roman"/>
          <w:sz w:val="24"/>
          <w:szCs w:val="24"/>
        </w:rPr>
        <w:t>ь</w:t>
      </w:r>
      <w:r w:rsidRPr="003B07AC">
        <w:rPr>
          <w:rFonts w:ascii="Times New Roman" w:hAnsi="Times New Roman"/>
          <w:sz w:val="24"/>
          <w:szCs w:val="24"/>
        </w:rPr>
        <w:t>ду: «А вот ещё, если бы вместо всех стихов, которые я имею Вам предложить, дал отрывок или отрывки Маяковский, - было бы интереснее»</w:t>
      </w:r>
      <w:r w:rsidRPr="003B07AC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3B07AC">
        <w:rPr>
          <w:rFonts w:ascii="Times New Roman" w:hAnsi="Times New Roman"/>
          <w:sz w:val="24"/>
          <w:szCs w:val="24"/>
        </w:rPr>
        <w:t>.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Поэты внимательно следили за творчеством друг друга, разговаривали по телефону, встречались. Блок был душевно дорог Маяковскому своим  неприятием «Адища гор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да», всяческой пошлости и врождённым благородством. Его присутствие ощущалось и т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гда, когда непосредственного общения не было. Множество стихов Блока Маяковский знал наизусть, с удовольствием читал их вслух, в том числе и большие фрагменты из «Двен</w:t>
      </w:r>
      <w:r w:rsidRPr="003B07AC">
        <w:rPr>
          <w:rFonts w:ascii="Times New Roman" w:hAnsi="Times New Roman"/>
          <w:sz w:val="24"/>
          <w:szCs w:val="24"/>
        </w:rPr>
        <w:t>а</w:t>
      </w:r>
      <w:r w:rsidRPr="003B07AC">
        <w:rPr>
          <w:rFonts w:ascii="Times New Roman" w:hAnsi="Times New Roman"/>
          <w:sz w:val="24"/>
          <w:szCs w:val="24"/>
        </w:rPr>
        <w:t>дцати».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Определённый резонанс получила пьеса Блока «Роза и Крест», о которой Б.М.Кустодиев сообщал В.В.Лужскому в марте 1916 года: «Пьеску давно знаю, и очень она мне нравилась. Много красивого и нежного…»</w:t>
      </w:r>
      <w:r w:rsidRPr="003B07AC">
        <w:rPr>
          <w:rStyle w:val="a5"/>
          <w:rFonts w:ascii="Times New Roman" w:hAnsi="Times New Roman"/>
          <w:sz w:val="24"/>
          <w:szCs w:val="24"/>
        </w:rPr>
        <w:footnoteReference w:id="4"/>
      </w:r>
      <w:r w:rsidRPr="003B07AC">
        <w:rPr>
          <w:rFonts w:ascii="Times New Roman" w:hAnsi="Times New Roman"/>
          <w:sz w:val="24"/>
          <w:szCs w:val="24"/>
        </w:rPr>
        <w:t xml:space="preserve"> Бывая у художника на Мясной ул</w:t>
      </w:r>
      <w:r w:rsidRPr="003B07AC">
        <w:rPr>
          <w:rFonts w:ascii="Times New Roman" w:hAnsi="Times New Roman"/>
          <w:sz w:val="24"/>
          <w:szCs w:val="24"/>
        </w:rPr>
        <w:t>и</w:t>
      </w:r>
      <w:r w:rsidRPr="003B07AC">
        <w:rPr>
          <w:rFonts w:ascii="Times New Roman" w:hAnsi="Times New Roman"/>
          <w:sz w:val="24"/>
          <w:szCs w:val="24"/>
        </w:rPr>
        <w:t>це, Блок читал ему свои стихи, дарил все(!) свои книги. Кустодиев отмечал, что Блок – «это большущий и сам очень красивый и хороший человек, и руки у него необычайно красивы: Вот таким только и должен быть поэт – он всегда говорит».</w:t>
      </w:r>
      <w:r w:rsidRPr="003B07AC">
        <w:rPr>
          <w:rStyle w:val="a5"/>
          <w:rFonts w:ascii="Times New Roman" w:hAnsi="Times New Roman"/>
          <w:sz w:val="24"/>
          <w:szCs w:val="24"/>
        </w:rPr>
        <w:footnoteReference w:id="5"/>
      </w:r>
      <w:r w:rsidRPr="003B07AC">
        <w:rPr>
          <w:rFonts w:ascii="Times New Roman" w:hAnsi="Times New Roman"/>
          <w:sz w:val="24"/>
          <w:szCs w:val="24"/>
        </w:rPr>
        <w:t xml:space="preserve"> Жаль не сохр</w:t>
      </w:r>
      <w:r w:rsidRPr="003B07AC">
        <w:rPr>
          <w:rFonts w:ascii="Times New Roman" w:hAnsi="Times New Roman"/>
          <w:sz w:val="24"/>
          <w:szCs w:val="24"/>
        </w:rPr>
        <w:t>а</w:t>
      </w:r>
      <w:r w:rsidRPr="003B07AC">
        <w:rPr>
          <w:rFonts w:ascii="Times New Roman" w:hAnsi="Times New Roman"/>
          <w:sz w:val="24"/>
          <w:szCs w:val="24"/>
        </w:rPr>
        <w:t>нился бюст Блока, – ибо Кустодиев был также скульптором.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Живя  в  Коломне, Блок ограничил круг близких знакомств (в основном, поэты и актёры), он не любил групповщины, «сообществ», «мероприятий» (таких как «Бродячая собака»). Он не был ни отшельником, ни человеком богемы, терпеть не мог панибратс</w:t>
      </w:r>
      <w:r w:rsidRPr="003B07AC">
        <w:rPr>
          <w:rFonts w:ascii="Times New Roman" w:hAnsi="Times New Roman"/>
          <w:sz w:val="24"/>
          <w:szCs w:val="24"/>
        </w:rPr>
        <w:t>т</w:t>
      </w:r>
      <w:r w:rsidRPr="003B07AC">
        <w:rPr>
          <w:rFonts w:ascii="Times New Roman" w:hAnsi="Times New Roman"/>
          <w:sz w:val="24"/>
          <w:szCs w:val="24"/>
        </w:rPr>
        <w:t>ва, что давало повод людям, плохо его знавшим, считать его высокомерным. Иногда поэт бывал на «субботах» у актрисы В.Ивановой в доме на Торговой улице, где собирались поэты и а</w:t>
      </w:r>
      <w:r w:rsidRPr="003B07AC">
        <w:rPr>
          <w:rFonts w:ascii="Times New Roman" w:hAnsi="Times New Roman"/>
          <w:sz w:val="24"/>
          <w:szCs w:val="24"/>
        </w:rPr>
        <w:t>к</w:t>
      </w:r>
      <w:r w:rsidRPr="003B07AC">
        <w:rPr>
          <w:rFonts w:ascii="Times New Roman" w:hAnsi="Times New Roman"/>
          <w:sz w:val="24"/>
          <w:szCs w:val="24"/>
        </w:rPr>
        <w:t>трисы.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Преодолевая сомнения и личные переживания, оба поэта болезненно воспринимали контрасты революции. Ещё раньше, к 1910-м годам оба тяготились скукой и бессмысле</w:t>
      </w:r>
      <w:r w:rsidRPr="003B07AC">
        <w:rPr>
          <w:rFonts w:ascii="Times New Roman" w:hAnsi="Times New Roman"/>
          <w:sz w:val="24"/>
          <w:szCs w:val="24"/>
        </w:rPr>
        <w:t>н</w:t>
      </w:r>
      <w:r w:rsidRPr="003B07AC">
        <w:rPr>
          <w:rFonts w:ascii="Times New Roman" w:hAnsi="Times New Roman"/>
          <w:sz w:val="24"/>
          <w:szCs w:val="24"/>
        </w:rPr>
        <w:t>ностью всевозможных «пятниц» и «суббот», литературно-театральных «эпидемий». Они уже жили в другом времени. Отсюда и острое чувство одиночества в их произведениях (см. сатирические стихи Маяковского, «Сытые» и другие Блока). Влияние Блока нес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мненно, но вполне возможно и обратное влияние – сохранились воспоминания, с каким напряжённым вниманием 7 и 8 ноября 1918 года слушал Блок не только трагедию «Вл</w:t>
      </w:r>
      <w:r w:rsidRPr="003B07AC">
        <w:rPr>
          <w:rFonts w:ascii="Times New Roman" w:hAnsi="Times New Roman"/>
          <w:sz w:val="24"/>
          <w:szCs w:val="24"/>
        </w:rPr>
        <w:t>а</w:t>
      </w:r>
      <w:r w:rsidRPr="003B07AC">
        <w:rPr>
          <w:rFonts w:ascii="Times New Roman" w:hAnsi="Times New Roman"/>
          <w:sz w:val="24"/>
          <w:szCs w:val="24"/>
        </w:rPr>
        <w:t>димир Маяковский», но и «Мистерию-Буфф» (написана в Левашове, где Маяковский, кроме того, писал этюды) в здании консерватории (Театр музыкальной драмы). На глазах Блока рождался н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вый театр и, следовательно, – новая культура.</w:t>
      </w:r>
      <w:r w:rsidRPr="003B07AC">
        <w:rPr>
          <w:rStyle w:val="a5"/>
          <w:rFonts w:ascii="Times New Roman" w:hAnsi="Times New Roman"/>
          <w:sz w:val="24"/>
          <w:szCs w:val="24"/>
        </w:rPr>
        <w:footnoteReference w:id="6"/>
      </w:r>
    </w:p>
    <w:p w:rsidR="00847B65" w:rsidRPr="003B07AC" w:rsidRDefault="00847B65" w:rsidP="00847B65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Однако внутренние, глубинные связи были гораздо шире. «Последняя петербургская сказка», поэмы «Война и мир» и «Человек» Маяковского во многом созвучны творен</w:t>
      </w:r>
      <w:r w:rsidRPr="003B07AC">
        <w:rPr>
          <w:rFonts w:ascii="Times New Roman" w:hAnsi="Times New Roman"/>
          <w:sz w:val="24"/>
          <w:szCs w:val="24"/>
        </w:rPr>
        <w:t>и</w:t>
      </w:r>
      <w:r w:rsidRPr="003B07AC">
        <w:rPr>
          <w:rFonts w:ascii="Times New Roman" w:hAnsi="Times New Roman"/>
          <w:sz w:val="24"/>
          <w:szCs w:val="24"/>
        </w:rPr>
        <w:t>ям Блока. Этого мало: у них почти один и тот же Петербург – Петроград, не парадный, не помпезный, без «версальских аллей». Петербург Блока и Маяковского похож на город Достоевского – лишь с более сильными социальными контрастами. Оба поэта мечтали о др</w:t>
      </w:r>
      <w:r w:rsidRPr="003B07AC">
        <w:rPr>
          <w:rFonts w:ascii="Times New Roman" w:hAnsi="Times New Roman"/>
          <w:sz w:val="24"/>
          <w:szCs w:val="24"/>
        </w:rPr>
        <w:t>у</w:t>
      </w:r>
      <w:r w:rsidRPr="003B07AC">
        <w:rPr>
          <w:rFonts w:ascii="Times New Roman" w:hAnsi="Times New Roman"/>
          <w:sz w:val="24"/>
          <w:szCs w:val="24"/>
        </w:rPr>
        <w:t>гом городе – городе для  людей.</w:t>
      </w:r>
    </w:p>
    <w:p w:rsidR="00847B65" w:rsidRPr="003B07AC" w:rsidRDefault="00847B65" w:rsidP="00847B65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Всё это Блок видел ежедневно, живя в Коломне. Здесь его поэзия стала мощнее, стр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же, трагичнее, и, что чрезвычайно важно – тема Родины, России стала доминирующей. Позднее она стала доминирующей и у Маяковского. «Русская тема» всё больше отд</w:t>
      </w:r>
      <w:r w:rsidRPr="003B07AC">
        <w:rPr>
          <w:rFonts w:ascii="Times New Roman" w:hAnsi="Times New Roman"/>
          <w:sz w:val="24"/>
          <w:szCs w:val="24"/>
        </w:rPr>
        <w:t>е</w:t>
      </w:r>
      <w:r w:rsidRPr="003B07AC">
        <w:rPr>
          <w:rFonts w:ascii="Times New Roman" w:hAnsi="Times New Roman"/>
          <w:sz w:val="24"/>
          <w:szCs w:val="24"/>
        </w:rPr>
        <w:t xml:space="preserve">ляла Блока от его «друзей» (недругов), символистов и  мирискусников, </w:t>
      </w:r>
      <w:r w:rsidRPr="003B07AC">
        <w:rPr>
          <w:rFonts w:ascii="Times New Roman" w:hAnsi="Times New Roman"/>
          <w:sz w:val="24"/>
          <w:szCs w:val="24"/>
        </w:rPr>
        <w:lastRenderedPageBreak/>
        <w:t>соседей по Коломне. Х</w:t>
      </w:r>
      <w:r w:rsidRPr="003B07AC">
        <w:rPr>
          <w:rFonts w:ascii="Times New Roman" w:hAnsi="Times New Roman"/>
          <w:sz w:val="24"/>
          <w:szCs w:val="24"/>
        </w:rPr>
        <w:t>у</w:t>
      </w:r>
      <w:r w:rsidRPr="003B07AC">
        <w:rPr>
          <w:rFonts w:ascii="Times New Roman" w:hAnsi="Times New Roman"/>
          <w:sz w:val="24"/>
          <w:szCs w:val="24"/>
        </w:rPr>
        <w:t>дожник К.А.Сомов, частый гость Блока, автор неудачного портрета поэта, после его конч</w:t>
      </w:r>
      <w:r w:rsidRPr="003B07AC">
        <w:rPr>
          <w:rFonts w:ascii="Times New Roman" w:hAnsi="Times New Roman"/>
          <w:sz w:val="24"/>
          <w:szCs w:val="24"/>
        </w:rPr>
        <w:t>и</w:t>
      </w:r>
      <w:r w:rsidRPr="003B07AC">
        <w:rPr>
          <w:rFonts w:ascii="Times New Roman" w:hAnsi="Times New Roman"/>
          <w:sz w:val="24"/>
          <w:szCs w:val="24"/>
        </w:rPr>
        <w:t>ны записал: «Вчера умер Блок. Начал покрывать маслом старую акварель»</w:t>
      </w:r>
      <w:r w:rsidRPr="003B07AC">
        <w:rPr>
          <w:rStyle w:val="a5"/>
          <w:rFonts w:ascii="Times New Roman" w:hAnsi="Times New Roman"/>
          <w:sz w:val="24"/>
          <w:szCs w:val="24"/>
        </w:rPr>
        <w:footnoteReference w:id="7"/>
      </w:r>
      <w:r w:rsidRPr="003B07AC">
        <w:rPr>
          <w:rFonts w:ascii="Times New Roman" w:hAnsi="Times New Roman"/>
          <w:sz w:val="24"/>
          <w:szCs w:val="24"/>
        </w:rPr>
        <w:t>. Через два года  он высказался так: «Блок глуп (я его и по стихам считал глупым), вял, безвкусен…»</w:t>
      </w:r>
      <w:r w:rsidRPr="003B07AC">
        <w:rPr>
          <w:rStyle w:val="a5"/>
          <w:rFonts w:ascii="Times New Roman" w:hAnsi="Times New Roman"/>
          <w:sz w:val="24"/>
          <w:szCs w:val="24"/>
        </w:rPr>
        <w:footnoteReference w:id="8"/>
      </w:r>
      <w:r w:rsidRPr="003B07AC">
        <w:rPr>
          <w:rFonts w:ascii="Times New Roman" w:hAnsi="Times New Roman"/>
          <w:sz w:val="24"/>
          <w:szCs w:val="24"/>
        </w:rPr>
        <w:t xml:space="preserve"> Х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чется спросить у этого сноба: «Зачем же ты ходил к нему?» . Говоря о Блоке, он сказал о себе. Потому и не получился у него портрет поэта. Сомов не понял даже поэму «Возме</w:t>
      </w:r>
      <w:r w:rsidRPr="003B07AC">
        <w:rPr>
          <w:rFonts w:ascii="Times New Roman" w:hAnsi="Times New Roman"/>
          <w:sz w:val="24"/>
          <w:szCs w:val="24"/>
        </w:rPr>
        <w:t>з</w:t>
      </w:r>
      <w:r w:rsidRPr="003B07AC">
        <w:rPr>
          <w:rFonts w:ascii="Times New Roman" w:hAnsi="Times New Roman"/>
          <w:sz w:val="24"/>
          <w:szCs w:val="24"/>
        </w:rPr>
        <w:t xml:space="preserve">дие». </w:t>
      </w:r>
    </w:p>
    <w:p w:rsidR="00847B65" w:rsidRPr="003B07AC" w:rsidRDefault="00847B65" w:rsidP="00847B65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Маяковский не обедал у Блока и не рисовал его, но в 1922 году в Париже с удовлетворением отметил, что французов интересует новая Россия, а не «дохлая Россия Сомовых»</w:t>
      </w:r>
      <w:r w:rsidRPr="003B07AC">
        <w:rPr>
          <w:rStyle w:val="a5"/>
          <w:rFonts w:ascii="Times New Roman" w:hAnsi="Times New Roman"/>
          <w:sz w:val="24"/>
          <w:szCs w:val="24"/>
        </w:rPr>
        <w:footnoteReference w:id="9"/>
      </w:r>
      <w:r w:rsidRPr="003B07AC">
        <w:rPr>
          <w:rFonts w:ascii="Times New Roman" w:hAnsi="Times New Roman"/>
          <w:sz w:val="24"/>
          <w:szCs w:val="24"/>
        </w:rPr>
        <w:t>. Тогда же он с гневом отозвался о Мережковских – Гиппиус, осмелившихся бр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сить тень на Блока. «Рыцари серебряного века» остались в прошлом, Блок был устремлён в буд</w:t>
      </w:r>
      <w:r w:rsidRPr="003B07AC">
        <w:rPr>
          <w:rFonts w:ascii="Times New Roman" w:hAnsi="Times New Roman"/>
          <w:sz w:val="24"/>
          <w:szCs w:val="24"/>
        </w:rPr>
        <w:t>у</w:t>
      </w:r>
      <w:r w:rsidRPr="003B07AC">
        <w:rPr>
          <w:rFonts w:ascii="Times New Roman" w:hAnsi="Times New Roman"/>
          <w:sz w:val="24"/>
          <w:szCs w:val="24"/>
        </w:rPr>
        <w:t>щее.</w:t>
      </w:r>
    </w:p>
    <w:p w:rsidR="00847B65" w:rsidRPr="003B07AC" w:rsidRDefault="00847B65" w:rsidP="00847B65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В марте 1917 года Блок и Маяковский были избраны в Союз деятелей искусств, их нередко видели на совещаниях, где обсуждались вопросы нового искусства. Участников было немного (5-7 человек), все «помещались на одном диване». Пьесы «Владимир Маяковский» и «Мистерия-Буфф» Маяковского, «Балаганчик» и «Роза и Крест» Блока называли «бредом» и «белибердой. От ранних пьес Маяковского идет путь к поздним трагед</w:t>
      </w:r>
      <w:r w:rsidRPr="003B07AC">
        <w:rPr>
          <w:rFonts w:ascii="Times New Roman" w:hAnsi="Times New Roman"/>
          <w:sz w:val="24"/>
          <w:szCs w:val="24"/>
        </w:rPr>
        <w:t>и</w:t>
      </w:r>
      <w:r w:rsidRPr="003B07AC">
        <w:rPr>
          <w:rFonts w:ascii="Times New Roman" w:hAnsi="Times New Roman"/>
          <w:sz w:val="24"/>
          <w:szCs w:val="24"/>
        </w:rPr>
        <w:t>ям «Клоп» и «Баня». Маяковский высказался «во весь голос» за себя и Блока. Жаль, что Блок не ув</w:t>
      </w:r>
      <w:r w:rsidRPr="003B07AC">
        <w:rPr>
          <w:rFonts w:ascii="Times New Roman" w:hAnsi="Times New Roman"/>
          <w:sz w:val="24"/>
          <w:szCs w:val="24"/>
        </w:rPr>
        <w:t>и</w:t>
      </w:r>
      <w:r w:rsidRPr="003B07AC">
        <w:rPr>
          <w:rFonts w:ascii="Times New Roman" w:hAnsi="Times New Roman"/>
          <w:sz w:val="24"/>
          <w:szCs w:val="24"/>
        </w:rPr>
        <w:t>дел эти произведения. Но главное – в городе на Неве родился театр Блока и Маяковск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го как явление русской культуры ХХ века, как самое действенное и доступное искусство св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его времени.</w:t>
      </w:r>
    </w:p>
    <w:p w:rsidR="00847B65" w:rsidRPr="003B07AC" w:rsidRDefault="00847B65" w:rsidP="00847B65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Новый театр был создан для АКТИВНОГО зрителя. «Незнакомка» Блока, поставле</w:t>
      </w:r>
      <w:r w:rsidRPr="003B07AC">
        <w:rPr>
          <w:rFonts w:ascii="Times New Roman" w:hAnsi="Times New Roman"/>
          <w:sz w:val="24"/>
          <w:szCs w:val="24"/>
        </w:rPr>
        <w:t>н</w:t>
      </w:r>
      <w:r w:rsidRPr="003B07AC">
        <w:rPr>
          <w:rFonts w:ascii="Times New Roman" w:hAnsi="Times New Roman"/>
          <w:sz w:val="24"/>
          <w:szCs w:val="24"/>
        </w:rPr>
        <w:t>ная Мейерхольдом в Тенишевском училище весной 1914 года (Маяковский обожал эту вещь) и «Мистерия-Буфф» стали прово</w:t>
      </w:r>
      <w:r w:rsidRPr="003B07AC">
        <w:rPr>
          <w:rFonts w:ascii="Times New Roman" w:hAnsi="Times New Roman"/>
          <w:sz w:val="24"/>
          <w:szCs w:val="24"/>
        </w:rPr>
        <w:t>з</w:t>
      </w:r>
      <w:r w:rsidRPr="003B07AC">
        <w:rPr>
          <w:rFonts w:ascii="Times New Roman" w:hAnsi="Times New Roman"/>
          <w:sz w:val="24"/>
          <w:szCs w:val="24"/>
        </w:rPr>
        <w:t>вестниками нового искусства.</w:t>
      </w:r>
    </w:p>
    <w:p w:rsidR="00847B65" w:rsidRPr="003B07AC" w:rsidRDefault="00847B65" w:rsidP="00847B65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Так что же более всего сблизило поэтов? Лирико-эпический характер поэзии, что проявлялось постепенно, с изменениями самой жизни и ростом мастерства. Сколько родственного в поэмах «Двенадцать» и «Хорошо». Сколько родственного в поздних произвед</w:t>
      </w:r>
      <w:r w:rsidRPr="003B07AC">
        <w:rPr>
          <w:rFonts w:ascii="Times New Roman" w:hAnsi="Times New Roman"/>
          <w:sz w:val="24"/>
          <w:szCs w:val="24"/>
        </w:rPr>
        <w:t>е</w:t>
      </w:r>
      <w:r w:rsidRPr="003B07AC">
        <w:rPr>
          <w:rFonts w:ascii="Times New Roman" w:hAnsi="Times New Roman"/>
          <w:sz w:val="24"/>
          <w:szCs w:val="24"/>
        </w:rPr>
        <w:t>ниях Блока и «Окнах РОСТа» Маяковского! Оба обогащают своё искусство фольклором, народным творчеством. И, главное: отношение к Родине, как к Отечеству, а не как к государс</w:t>
      </w:r>
      <w:r w:rsidRPr="003B07AC">
        <w:rPr>
          <w:rFonts w:ascii="Times New Roman" w:hAnsi="Times New Roman"/>
          <w:sz w:val="24"/>
          <w:szCs w:val="24"/>
        </w:rPr>
        <w:t>т</w:t>
      </w:r>
      <w:r w:rsidRPr="003B07AC">
        <w:rPr>
          <w:rFonts w:ascii="Times New Roman" w:hAnsi="Times New Roman"/>
          <w:sz w:val="24"/>
          <w:szCs w:val="24"/>
        </w:rPr>
        <w:t>ву.</w:t>
      </w:r>
    </w:p>
    <w:p w:rsidR="00847B65" w:rsidRPr="003B07AC" w:rsidRDefault="00847B65" w:rsidP="00847B65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Блок шёл к пониманию Родины всю жизнь, несмотря на соблазны начала века и сомнительные ценности: «Стоит передо мной моя тема, тема о России (вопрос об интелл</w:t>
      </w:r>
      <w:r w:rsidRPr="003B07AC">
        <w:rPr>
          <w:rFonts w:ascii="Times New Roman" w:hAnsi="Times New Roman"/>
          <w:sz w:val="24"/>
          <w:szCs w:val="24"/>
        </w:rPr>
        <w:t>и</w:t>
      </w:r>
      <w:r w:rsidRPr="003B07AC">
        <w:rPr>
          <w:rFonts w:ascii="Times New Roman" w:hAnsi="Times New Roman"/>
          <w:sz w:val="24"/>
          <w:szCs w:val="24"/>
        </w:rPr>
        <w:t>генции  и народа в частности). Этой теме я сознательно и бесповоротно посвящаю жизнь. Всё ярче сознаю, что это – первейший вопрос, самый жизненный, самый реальный. К нему-то я прихожу давно, с начала своей сознательной жизни... Несмотря на все мои уклонения, пад</w:t>
      </w:r>
      <w:r w:rsidRPr="003B07AC">
        <w:rPr>
          <w:rFonts w:ascii="Times New Roman" w:hAnsi="Times New Roman"/>
          <w:sz w:val="24"/>
          <w:szCs w:val="24"/>
        </w:rPr>
        <w:t>е</w:t>
      </w:r>
      <w:r w:rsidRPr="003B07AC">
        <w:rPr>
          <w:rFonts w:ascii="Times New Roman" w:hAnsi="Times New Roman"/>
          <w:sz w:val="24"/>
          <w:szCs w:val="24"/>
        </w:rPr>
        <w:t>ния сомнения, покаяния – я иду» (из письма К.С.Станиславскому, 1908г.).</w:t>
      </w:r>
    </w:p>
    <w:p w:rsidR="00847B65" w:rsidRPr="003B07AC" w:rsidRDefault="00847B65" w:rsidP="00847B65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Живя на Офицерской, «у морских ворот Невы», Блок создал цикл стихов - шедевров о России. Для Маяковского, в ту пору футуриста и урбаниста, этот путь был более тернистым (другое воспитание, окружение и т.п..), но и он пришёл, возможно, не без воздействия Бл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ка, к постижению Родины, как Матери – земли. Интересно проследить, как в поэме «Хор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шо» плавно и уверенно меняется смысл слова Земля. Оно встречается здесь часто и в том же смысле, что и у Блока («На поле Куликовом» и др.). Жаль, что Блок не мог прочитать эти поразительные слова: исповедь – призн</w:t>
      </w:r>
      <w:r w:rsidRPr="003B07AC">
        <w:rPr>
          <w:rFonts w:ascii="Times New Roman" w:hAnsi="Times New Roman"/>
          <w:sz w:val="24"/>
          <w:szCs w:val="24"/>
        </w:rPr>
        <w:t>а</w:t>
      </w:r>
      <w:r w:rsidRPr="003B07AC">
        <w:rPr>
          <w:rFonts w:ascii="Times New Roman" w:hAnsi="Times New Roman"/>
          <w:sz w:val="24"/>
          <w:szCs w:val="24"/>
        </w:rPr>
        <w:t>ние: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lastRenderedPageBreak/>
        <w:t xml:space="preserve">                    В лицо вам,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 xml:space="preserve">                                           Толще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 xml:space="preserve">                                                       Свиных причуд,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 xml:space="preserve">                    Круглей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 xml:space="preserve">                                   Ресторанных  блюд,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 xml:space="preserve">                    Из нищей  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 xml:space="preserve">                                       Нашей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 xml:space="preserve">                                                   Земли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 xml:space="preserve">                                                               Кричу: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 xml:space="preserve">                    Я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 xml:space="preserve">                       Землю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 xml:space="preserve">                                    Эту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 xml:space="preserve">                                          Люблю.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В статье «Как делать стихи» Маяковский, говоря о новом, рождённом эпохой языке, ставит рядом с поэмой «Двенадцать» свой «Левый марш», написанный в1918 году по дороге в Гвардейский экипаж (пр.Римского-Корсакова, 22), где оно впервые было прочит</w:t>
      </w:r>
      <w:r w:rsidRPr="003B07AC">
        <w:rPr>
          <w:rFonts w:ascii="Times New Roman" w:hAnsi="Times New Roman"/>
          <w:sz w:val="24"/>
          <w:szCs w:val="24"/>
        </w:rPr>
        <w:t>а</w:t>
      </w:r>
      <w:r w:rsidRPr="003B07AC">
        <w:rPr>
          <w:rFonts w:ascii="Times New Roman" w:hAnsi="Times New Roman"/>
          <w:sz w:val="24"/>
          <w:szCs w:val="24"/>
        </w:rPr>
        <w:t>но матросам, идущим на фронт.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В панораме отечественной культуры имена Блока и Маяковского стоят рядом, и вм</w:t>
      </w:r>
      <w:r w:rsidRPr="003B07AC">
        <w:rPr>
          <w:rFonts w:ascii="Times New Roman" w:hAnsi="Times New Roman"/>
          <w:sz w:val="24"/>
          <w:szCs w:val="24"/>
        </w:rPr>
        <w:t>е</w:t>
      </w:r>
      <w:r w:rsidRPr="003B07AC">
        <w:rPr>
          <w:rFonts w:ascii="Times New Roman" w:hAnsi="Times New Roman"/>
          <w:sz w:val="24"/>
          <w:szCs w:val="24"/>
        </w:rPr>
        <w:t>сте с именем Есенина образуют своеобразный триумвират: три великих поэта ХХ века, значение которых выходит далеко за пределы п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>эзии.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Примечания: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1.Поэт Б.Лившиц вспоминал:  «Помню сосредоточенное лицо Блока, неотрывно смотревшего на сцену и потом, в антракте, оживленно беседовавшего с Кулибиным»</w:t>
      </w:r>
      <w:r w:rsidRPr="003B07AC">
        <w:rPr>
          <w:rStyle w:val="a5"/>
          <w:rFonts w:ascii="Times New Roman" w:hAnsi="Times New Roman"/>
          <w:sz w:val="24"/>
          <w:szCs w:val="24"/>
        </w:rPr>
        <w:footnoteReference w:id="10"/>
      </w:r>
      <w:r w:rsidRPr="003B07AC">
        <w:rPr>
          <w:rFonts w:ascii="Times New Roman" w:hAnsi="Times New Roman"/>
          <w:sz w:val="24"/>
          <w:szCs w:val="24"/>
        </w:rPr>
        <w:t>. В п</w:t>
      </w:r>
      <w:r w:rsidRPr="003B07AC">
        <w:rPr>
          <w:rFonts w:ascii="Times New Roman" w:hAnsi="Times New Roman"/>
          <w:sz w:val="24"/>
          <w:szCs w:val="24"/>
        </w:rPr>
        <w:t>е</w:t>
      </w:r>
      <w:r w:rsidRPr="003B07AC">
        <w:rPr>
          <w:rFonts w:ascii="Times New Roman" w:hAnsi="Times New Roman"/>
          <w:sz w:val="24"/>
          <w:szCs w:val="24"/>
        </w:rPr>
        <w:t>реполненном зале был цвет петербургской интеллигенции и даже члены Государственной думы. Скандала, по словам Лившица, не было – скорее, был успех и начало всеросси</w:t>
      </w:r>
      <w:r w:rsidRPr="003B07AC">
        <w:rPr>
          <w:rFonts w:ascii="Times New Roman" w:hAnsi="Times New Roman"/>
          <w:sz w:val="24"/>
          <w:szCs w:val="24"/>
        </w:rPr>
        <w:t>й</w:t>
      </w:r>
      <w:r w:rsidRPr="003B07AC">
        <w:rPr>
          <w:rFonts w:ascii="Times New Roman" w:hAnsi="Times New Roman"/>
          <w:sz w:val="24"/>
          <w:szCs w:val="24"/>
        </w:rPr>
        <w:t>ской известности. Некоторые современники совершенно верно ощутили лирико-трагический х</w:t>
      </w:r>
      <w:r w:rsidRPr="003B07AC">
        <w:rPr>
          <w:rFonts w:ascii="Times New Roman" w:hAnsi="Times New Roman"/>
          <w:sz w:val="24"/>
          <w:szCs w:val="24"/>
        </w:rPr>
        <w:t>а</w:t>
      </w:r>
      <w:r w:rsidRPr="003B07AC">
        <w:rPr>
          <w:rFonts w:ascii="Times New Roman" w:hAnsi="Times New Roman"/>
          <w:sz w:val="24"/>
          <w:szCs w:val="24"/>
        </w:rPr>
        <w:t>рактер пьесы, связав её с театром Блока. Перечислив мнимые просчёты и недостатки спектакля, Лившиц также отмечал: «Впрочем, именно в этом заключалась «футуристи</w:t>
      </w:r>
      <w:r w:rsidRPr="003B07AC">
        <w:rPr>
          <w:rFonts w:ascii="Times New Roman" w:hAnsi="Times New Roman"/>
          <w:sz w:val="24"/>
          <w:szCs w:val="24"/>
        </w:rPr>
        <w:t>ч</w:t>
      </w:r>
      <w:r w:rsidRPr="003B07AC">
        <w:rPr>
          <w:rFonts w:ascii="Times New Roman" w:hAnsi="Times New Roman"/>
          <w:sz w:val="24"/>
          <w:szCs w:val="24"/>
        </w:rPr>
        <w:t>ность» спектакля, стиравшего грань между двумя жанрами, между лирикой и драмой, о</w:t>
      </w:r>
      <w:r w:rsidRPr="003B07AC">
        <w:rPr>
          <w:rFonts w:ascii="Times New Roman" w:hAnsi="Times New Roman"/>
          <w:sz w:val="24"/>
          <w:szCs w:val="24"/>
        </w:rPr>
        <w:t>с</w:t>
      </w:r>
      <w:r w:rsidRPr="003B07AC">
        <w:rPr>
          <w:rFonts w:ascii="Times New Roman" w:hAnsi="Times New Roman"/>
          <w:sz w:val="24"/>
          <w:szCs w:val="24"/>
        </w:rPr>
        <w:t>тавлявшего далеко позади робкое новаторство «Балаганчика» и «Незнакомки»… Маяко</w:t>
      </w:r>
      <w:r w:rsidRPr="003B07AC">
        <w:rPr>
          <w:rFonts w:ascii="Times New Roman" w:hAnsi="Times New Roman"/>
          <w:sz w:val="24"/>
          <w:szCs w:val="24"/>
        </w:rPr>
        <w:t>в</w:t>
      </w:r>
      <w:r w:rsidRPr="003B07AC">
        <w:rPr>
          <w:rFonts w:ascii="Times New Roman" w:hAnsi="Times New Roman"/>
          <w:sz w:val="24"/>
          <w:szCs w:val="24"/>
        </w:rPr>
        <w:t>ский перебрасывал невидимый мост от одного вида искусства к другому и делал это в единственно мыслимой форме, на глазах у публики, не догадывающейся ни о чём».</w:t>
      </w:r>
      <w:r w:rsidRPr="003B07AC">
        <w:rPr>
          <w:rStyle w:val="a5"/>
          <w:rFonts w:ascii="Times New Roman" w:hAnsi="Times New Roman"/>
          <w:sz w:val="24"/>
          <w:szCs w:val="24"/>
        </w:rPr>
        <w:footnoteReference w:id="11"/>
      </w:r>
      <w:r w:rsidRPr="003B07AC">
        <w:rPr>
          <w:rFonts w:ascii="Times New Roman" w:hAnsi="Times New Roman"/>
          <w:sz w:val="24"/>
          <w:szCs w:val="24"/>
        </w:rPr>
        <w:t xml:space="preserve"> Правда, Маяковский, в отличие от Лившица, не считал новаторс</w:t>
      </w:r>
      <w:r w:rsidRPr="003B07AC">
        <w:rPr>
          <w:rFonts w:ascii="Times New Roman" w:hAnsi="Times New Roman"/>
          <w:sz w:val="24"/>
          <w:szCs w:val="24"/>
        </w:rPr>
        <w:t>т</w:t>
      </w:r>
      <w:r w:rsidRPr="003B07AC">
        <w:rPr>
          <w:rFonts w:ascii="Times New Roman" w:hAnsi="Times New Roman"/>
          <w:sz w:val="24"/>
          <w:szCs w:val="24"/>
        </w:rPr>
        <w:t>во Блока робким.</w:t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2.Благосклонно прослушав «Мистерию-Буфф» в Александринском театре и оценив Маяковского – чтеца, пьесу театр всё же отклонил. После долгих мытарств она была п</w:t>
      </w:r>
      <w:r w:rsidRPr="003B07AC">
        <w:rPr>
          <w:rFonts w:ascii="Times New Roman" w:hAnsi="Times New Roman"/>
          <w:sz w:val="24"/>
          <w:szCs w:val="24"/>
        </w:rPr>
        <w:t>о</w:t>
      </w:r>
      <w:r w:rsidRPr="003B07AC">
        <w:rPr>
          <w:rFonts w:ascii="Times New Roman" w:hAnsi="Times New Roman"/>
          <w:sz w:val="24"/>
          <w:szCs w:val="24"/>
        </w:rPr>
        <w:t xml:space="preserve">ставлена в Консерватории. 13 октября состоялась репетиция в Тенишевском училище. Вот что написал Блок, побывавший в Консерватории, где было поставлено первое в новое время «героическое, эпическое и сатирическое изображение нашей эпохи»: «…Празднование Октябрьской годовщины. Вечером с Любой – на Мистерию-Буфф </w:t>
      </w:r>
      <w:r w:rsidRPr="003B07AC">
        <w:rPr>
          <w:rFonts w:ascii="Times New Roman" w:hAnsi="Times New Roman"/>
          <w:sz w:val="24"/>
          <w:szCs w:val="24"/>
        </w:rPr>
        <w:lastRenderedPageBreak/>
        <w:t>Маяковского… Исторический день – для нас с Любой полный… Никогда этого дня не з</w:t>
      </w:r>
      <w:r w:rsidRPr="003B07AC">
        <w:rPr>
          <w:rFonts w:ascii="Times New Roman" w:hAnsi="Times New Roman"/>
          <w:sz w:val="24"/>
          <w:szCs w:val="24"/>
        </w:rPr>
        <w:t>а</w:t>
      </w:r>
      <w:r w:rsidRPr="003B07AC">
        <w:rPr>
          <w:rFonts w:ascii="Times New Roman" w:hAnsi="Times New Roman"/>
          <w:sz w:val="24"/>
          <w:szCs w:val="24"/>
        </w:rPr>
        <w:t>быть».</w:t>
      </w:r>
      <w:r w:rsidRPr="003B07AC">
        <w:rPr>
          <w:rStyle w:val="a5"/>
          <w:rFonts w:ascii="Times New Roman" w:hAnsi="Times New Roman"/>
          <w:sz w:val="24"/>
          <w:szCs w:val="24"/>
        </w:rPr>
        <w:footnoteReference w:id="12"/>
      </w:r>
    </w:p>
    <w:p w:rsidR="00847B65" w:rsidRPr="003B07AC" w:rsidRDefault="00847B65" w:rsidP="00847B6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 xml:space="preserve">Публикации автора по теме статьи: </w:t>
      </w:r>
    </w:p>
    <w:p w:rsidR="00847B65" w:rsidRPr="003B07AC" w:rsidRDefault="00847B65" w:rsidP="00847B65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.У морских ворот Невы. Журнал Диалог,  1990, №10.</w:t>
      </w:r>
    </w:p>
    <w:p w:rsidR="00847B65" w:rsidRPr="003B07AC" w:rsidRDefault="00847B65" w:rsidP="00847B65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Рисунки  поэта. Газета Октябрьская  магистраль, 1993, 17.V11.</w:t>
      </w:r>
    </w:p>
    <w:p w:rsidR="00847B65" w:rsidRPr="003B07AC" w:rsidRDefault="00847B65" w:rsidP="00847B65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Маяковский и архитектура. Петербургские чтения, 1993, с.116-119.</w:t>
      </w:r>
    </w:p>
    <w:p w:rsidR="00847B65" w:rsidRPr="003B07AC" w:rsidRDefault="00847B65" w:rsidP="00847B65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Маяковский и музыка.  Газета Октябрьская  магистраль, 1993, 28.</w:t>
      </w:r>
      <w:r w:rsidRPr="003B07AC">
        <w:rPr>
          <w:rFonts w:ascii="Times New Roman" w:hAnsi="Times New Roman"/>
          <w:sz w:val="24"/>
          <w:szCs w:val="24"/>
          <w:lang w:val="en-US"/>
        </w:rPr>
        <w:t>V</w:t>
      </w:r>
      <w:r w:rsidRPr="003B07AC">
        <w:rPr>
          <w:rFonts w:ascii="Times New Roman" w:hAnsi="Times New Roman"/>
          <w:sz w:val="24"/>
          <w:szCs w:val="24"/>
        </w:rPr>
        <w:t xml:space="preserve">111. </w:t>
      </w:r>
    </w:p>
    <w:p w:rsidR="00847B65" w:rsidRPr="003B07AC" w:rsidRDefault="00847B65" w:rsidP="00847B65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Поэт  и  зодчество. Газета Октябрьская  магистраль. 1994,  20.</w:t>
      </w:r>
      <w:r w:rsidRPr="003B07AC">
        <w:rPr>
          <w:rFonts w:ascii="Times New Roman" w:hAnsi="Times New Roman"/>
          <w:sz w:val="24"/>
          <w:szCs w:val="24"/>
          <w:lang w:val="en-US"/>
        </w:rPr>
        <w:t>V</w:t>
      </w:r>
      <w:r w:rsidRPr="003B07AC">
        <w:rPr>
          <w:rFonts w:ascii="Times New Roman" w:hAnsi="Times New Roman"/>
          <w:sz w:val="24"/>
          <w:szCs w:val="24"/>
        </w:rPr>
        <w:t>111.</w:t>
      </w:r>
    </w:p>
    <w:p w:rsidR="00847B65" w:rsidRPr="003B07AC" w:rsidRDefault="00847B65" w:rsidP="00847B65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Маяковский  и  живопись. (Трудовая  Россия,  1994,№7).</w:t>
      </w:r>
    </w:p>
    <w:p w:rsidR="00847B65" w:rsidRPr="003B07AC" w:rsidRDefault="00847B65" w:rsidP="00847B65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Там,  где  Крюков  канал. Рог  Борея,  2000,  вып.8.</w:t>
      </w:r>
    </w:p>
    <w:p w:rsidR="00847B65" w:rsidRPr="003B07AC" w:rsidRDefault="00847B65" w:rsidP="00847B65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У морских ворот Невы. По малым рекам и каналам  Санкт-Петербурга. СПб.,2001, с.175-193.</w:t>
      </w:r>
    </w:p>
    <w:p w:rsidR="00847B65" w:rsidRPr="003B07AC" w:rsidRDefault="00847B65" w:rsidP="00847B65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3B07AC">
        <w:rPr>
          <w:rFonts w:ascii="Times New Roman" w:hAnsi="Times New Roman"/>
          <w:sz w:val="24"/>
          <w:szCs w:val="24"/>
        </w:rPr>
        <w:t>Там,  где  Крюков  канал. (По малым рекам и каналам Санкт-Петербурга. СПб.,2001, с.36, 37, 40).</w:t>
      </w:r>
    </w:p>
    <w:p w:rsidR="00EB2D8F" w:rsidRDefault="00EB2D8F"/>
    <w:sectPr w:rsidR="00EB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8F" w:rsidRDefault="00EB2D8F" w:rsidP="00847B65">
      <w:pPr>
        <w:spacing w:after="0" w:line="240" w:lineRule="auto"/>
      </w:pPr>
      <w:r>
        <w:separator/>
      </w:r>
    </w:p>
  </w:endnote>
  <w:endnote w:type="continuationSeparator" w:id="1">
    <w:p w:rsidR="00EB2D8F" w:rsidRDefault="00EB2D8F" w:rsidP="0084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8F" w:rsidRDefault="00EB2D8F" w:rsidP="00847B65">
      <w:pPr>
        <w:spacing w:after="0" w:line="240" w:lineRule="auto"/>
      </w:pPr>
      <w:r>
        <w:separator/>
      </w:r>
    </w:p>
  </w:footnote>
  <w:footnote w:type="continuationSeparator" w:id="1">
    <w:p w:rsidR="00EB2D8F" w:rsidRDefault="00EB2D8F" w:rsidP="00847B65">
      <w:pPr>
        <w:spacing w:after="0" w:line="240" w:lineRule="auto"/>
      </w:pPr>
      <w:r>
        <w:continuationSeparator/>
      </w:r>
    </w:p>
  </w:footnote>
  <w:footnote w:id="2">
    <w:p w:rsidR="00847B65" w:rsidRPr="000B06A7" w:rsidRDefault="00847B65" w:rsidP="00847B65">
      <w:pPr>
        <w:pStyle w:val="a3"/>
        <w:rPr>
          <w:rFonts w:ascii="Times New Roman" w:hAnsi="Times New Roman"/>
        </w:rPr>
      </w:pPr>
      <w:r w:rsidRPr="000B06A7">
        <w:rPr>
          <w:rStyle w:val="a5"/>
          <w:rFonts w:ascii="Times New Roman" w:hAnsi="Times New Roman"/>
        </w:rPr>
        <w:footnoteRef/>
      </w:r>
      <w:r w:rsidRPr="000B06A7">
        <w:rPr>
          <w:rFonts w:ascii="Times New Roman" w:hAnsi="Times New Roman"/>
        </w:rPr>
        <w:t xml:space="preserve"> В.Маяковский.</w:t>
      </w:r>
      <w:r>
        <w:rPr>
          <w:rFonts w:ascii="Times New Roman" w:hAnsi="Times New Roman"/>
        </w:rPr>
        <w:t xml:space="preserve"> </w:t>
      </w:r>
      <w:r w:rsidRPr="000B06A7">
        <w:rPr>
          <w:rFonts w:ascii="Times New Roman" w:hAnsi="Times New Roman"/>
        </w:rPr>
        <w:t>Автобиография</w:t>
      </w:r>
      <w:r>
        <w:rPr>
          <w:rFonts w:ascii="Times New Roman" w:hAnsi="Times New Roman"/>
        </w:rPr>
        <w:t>. Собр. соч. т. 3. М. 1968. С. 450</w:t>
      </w:r>
    </w:p>
  </w:footnote>
  <w:footnote w:id="3">
    <w:p w:rsidR="00847B65" w:rsidRPr="0070666D" w:rsidRDefault="00847B65" w:rsidP="00847B65">
      <w:pPr>
        <w:spacing w:after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70666D">
        <w:rPr>
          <w:rFonts w:ascii="Times New Roman" w:hAnsi="Times New Roman"/>
          <w:sz w:val="20"/>
          <w:szCs w:val="20"/>
        </w:rPr>
        <w:t>Гречнев В.Я.</w:t>
      </w:r>
      <w:r>
        <w:rPr>
          <w:rFonts w:ascii="Times New Roman" w:hAnsi="Times New Roman"/>
          <w:sz w:val="20"/>
          <w:szCs w:val="20"/>
        </w:rPr>
        <w:t>, Вейс З.А. С Маяковским по Петербургу. СПб 1993. С. 101</w:t>
      </w:r>
    </w:p>
  </w:footnote>
  <w:footnote w:id="4">
    <w:p w:rsidR="00847B65" w:rsidRPr="000B06A7" w:rsidRDefault="00847B65" w:rsidP="00847B6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Б.М.Кустодиев. М. 1967. С. 154.</w:t>
      </w:r>
    </w:p>
  </w:footnote>
  <w:footnote w:id="5">
    <w:p w:rsidR="00847B65" w:rsidRPr="000B06A7" w:rsidRDefault="00847B65" w:rsidP="00847B6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Там же. С. 301.</w:t>
      </w:r>
    </w:p>
  </w:footnote>
  <w:footnote w:id="6">
    <w:p w:rsidR="00847B65" w:rsidRPr="00FA673C" w:rsidRDefault="00847B65" w:rsidP="00847B65">
      <w:pPr>
        <w:spacing w:after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В.Маяковский. Там же .С.450-453.</w:t>
      </w:r>
    </w:p>
  </w:footnote>
  <w:footnote w:id="7">
    <w:p w:rsidR="00847B65" w:rsidRPr="00FA673C" w:rsidRDefault="00847B65" w:rsidP="00847B6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К.А.Сомов. М. 1979. С. 214.</w:t>
      </w:r>
    </w:p>
  </w:footnote>
  <w:footnote w:id="8">
    <w:p w:rsidR="00847B65" w:rsidRPr="00FA673C" w:rsidRDefault="00847B65" w:rsidP="00847B6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FA673C">
        <w:rPr>
          <w:rFonts w:ascii="Times New Roman" w:hAnsi="Times New Roman"/>
        </w:rPr>
        <w:t>Там же. С. 216.</w:t>
      </w:r>
    </w:p>
  </w:footnote>
  <w:footnote w:id="9">
    <w:p w:rsidR="00847B65" w:rsidRPr="00FA673C" w:rsidRDefault="00847B65" w:rsidP="00847B6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FA673C">
        <w:rPr>
          <w:rFonts w:ascii="Times New Roman" w:hAnsi="Times New Roman"/>
        </w:rPr>
        <w:t>В.Маяковский. т.3. С. 398 – 405.</w:t>
      </w:r>
    </w:p>
  </w:footnote>
  <w:footnote w:id="10">
    <w:p w:rsidR="00847B65" w:rsidRDefault="00847B65" w:rsidP="00847B6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Б.Лившиц. Л. 1989. С</w:t>
      </w:r>
      <w:r w:rsidRPr="000B6BD2">
        <w:rPr>
          <w:rFonts w:ascii="Times New Roman" w:hAnsi="Times New Roman"/>
        </w:rPr>
        <w:t>447</w:t>
      </w:r>
      <w:r>
        <w:rPr>
          <w:rFonts w:ascii="Times New Roman" w:hAnsi="Times New Roman"/>
        </w:rPr>
        <w:t>-451.</w:t>
      </w:r>
    </w:p>
  </w:footnote>
  <w:footnote w:id="11">
    <w:p w:rsidR="00847B65" w:rsidRPr="00072A5F" w:rsidRDefault="00847B65" w:rsidP="00847B65">
      <w:pPr>
        <w:spacing w:after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Там же. С. 447.</w:t>
      </w:r>
    </w:p>
    <w:p w:rsidR="00847B65" w:rsidRPr="000B6BD2" w:rsidRDefault="00847B65" w:rsidP="00847B65">
      <w:pPr>
        <w:pStyle w:val="a3"/>
      </w:pPr>
    </w:p>
  </w:footnote>
  <w:footnote w:id="12">
    <w:p w:rsidR="00847B65" w:rsidRPr="00072A5F" w:rsidRDefault="00847B65" w:rsidP="00847B65">
      <w:pPr>
        <w:spacing w:after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З.А.Вейс, В.А.Гречнев. С </w:t>
      </w:r>
      <w:r w:rsidRPr="00072A5F">
        <w:rPr>
          <w:rFonts w:ascii="Times New Roman" w:hAnsi="Times New Roman"/>
          <w:sz w:val="20"/>
          <w:szCs w:val="20"/>
        </w:rPr>
        <w:t>Маяко</w:t>
      </w:r>
      <w:r w:rsidRPr="00072A5F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ским по Санкт-Петербургу. </w:t>
      </w:r>
      <w:r w:rsidRPr="00072A5F">
        <w:rPr>
          <w:rFonts w:ascii="Times New Roman" w:hAnsi="Times New Roman"/>
          <w:sz w:val="20"/>
          <w:szCs w:val="20"/>
        </w:rPr>
        <w:t>СПб</w:t>
      </w:r>
      <w:r>
        <w:rPr>
          <w:rFonts w:ascii="Times New Roman" w:hAnsi="Times New Roman"/>
          <w:sz w:val="20"/>
          <w:szCs w:val="20"/>
        </w:rPr>
        <w:t>., 1993. С.144</w:t>
      </w:r>
      <w:r w:rsidRPr="00072A5F">
        <w:rPr>
          <w:rFonts w:ascii="Times New Roman" w:hAnsi="Times New Roman"/>
          <w:sz w:val="20"/>
          <w:szCs w:val="20"/>
        </w:rPr>
        <w:t>.</w:t>
      </w:r>
    </w:p>
    <w:p w:rsidR="00847B65" w:rsidRPr="00072A5F" w:rsidRDefault="00847B65" w:rsidP="00847B65">
      <w:pPr>
        <w:spacing w:after="0"/>
        <w:ind w:firstLine="426"/>
        <w:contextualSpacing/>
        <w:rPr>
          <w:rFonts w:ascii="Times New Roman" w:hAnsi="Times New Roman"/>
          <w:sz w:val="20"/>
          <w:szCs w:val="20"/>
        </w:rPr>
      </w:pPr>
    </w:p>
    <w:p w:rsidR="00847B65" w:rsidRPr="00BF61F3" w:rsidRDefault="00847B65" w:rsidP="00847B65">
      <w:pPr>
        <w:pStyle w:val="a3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2D5"/>
    <w:multiLevelType w:val="hybridMultilevel"/>
    <w:tmpl w:val="30B63E7C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B65"/>
    <w:rsid w:val="00847B65"/>
    <w:rsid w:val="00EB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47B6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47B6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847B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2143</Words>
  <Characters>12218</Characters>
  <Application>Microsoft Office Word</Application>
  <DocSecurity>0</DocSecurity>
  <Lines>101</Lines>
  <Paragraphs>28</Paragraphs>
  <ScaleCrop>false</ScaleCrop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gavrilina</dc:creator>
  <cp:keywords/>
  <dc:description/>
  <cp:lastModifiedBy>gavrilina</cp:lastModifiedBy>
  <cp:revision>2</cp:revision>
  <dcterms:created xsi:type="dcterms:W3CDTF">2015-03-26T07:11:00Z</dcterms:created>
  <dcterms:modified xsi:type="dcterms:W3CDTF">2015-03-26T07:12:00Z</dcterms:modified>
</cp:coreProperties>
</file>